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B2" w:rsidRPr="006A54AB" w:rsidRDefault="003E28B2" w:rsidP="003E28B2">
      <w:pPr>
        <w:rPr>
          <w:b/>
          <w:i/>
          <w:sz w:val="24"/>
          <w:szCs w:val="24"/>
        </w:rPr>
      </w:pPr>
      <w:bookmarkStart w:id="0" w:name="_GoBack"/>
      <w:bookmarkEnd w:id="0"/>
      <w:r w:rsidRPr="001B085A">
        <w:rPr>
          <w:b/>
          <w:sz w:val="48"/>
          <w:szCs w:val="48"/>
        </w:rPr>
        <w:t>Maryland Opportunity Compact</w:t>
      </w:r>
      <w:r>
        <w:rPr>
          <w:b/>
          <w:i/>
          <w:sz w:val="48"/>
          <w:szCs w:val="48"/>
        </w:rPr>
        <w:t xml:space="preserve"> </w:t>
      </w:r>
      <w:r>
        <w:rPr>
          <w:b/>
          <w:i/>
          <w:sz w:val="48"/>
          <w:szCs w:val="48"/>
        </w:rPr>
        <w:br/>
      </w:r>
      <w:r w:rsidRPr="006A54AB">
        <w:rPr>
          <w:b/>
          <w:i/>
          <w:sz w:val="24"/>
          <w:szCs w:val="24"/>
        </w:rPr>
        <w:t>a sound public</w:t>
      </w:r>
      <w:r>
        <w:rPr>
          <w:b/>
          <w:i/>
          <w:sz w:val="24"/>
          <w:szCs w:val="24"/>
        </w:rPr>
        <w:t xml:space="preserve">/private </w:t>
      </w:r>
      <w:r w:rsidRPr="006A54AB">
        <w:rPr>
          <w:b/>
          <w:i/>
          <w:sz w:val="24"/>
          <w:szCs w:val="24"/>
        </w:rPr>
        <w:t xml:space="preserve">financing tool for positive results and public savings   </w:t>
      </w:r>
    </w:p>
    <w:p w:rsidR="003E28B2" w:rsidRPr="006A54AB" w:rsidRDefault="003E28B2" w:rsidP="003E28B2">
      <w:pPr>
        <w:spacing w:line="240" w:lineRule="auto"/>
      </w:pPr>
      <w:r w:rsidRPr="006A54AB">
        <w:rPr>
          <w:b/>
          <w:i/>
        </w:rPr>
        <w:t>The Maryland Opportunity Compact</w:t>
      </w:r>
      <w:r w:rsidRPr="006A54AB">
        <w:t xml:space="preserve"> is a public/private financing innovation that redeploys </w:t>
      </w:r>
      <w:r>
        <w:t xml:space="preserve">public dollars </w:t>
      </w:r>
      <w:r w:rsidRPr="006A54AB">
        <w:t xml:space="preserve">away from high cost, ineffective services to </w:t>
      </w:r>
      <w:r>
        <w:t xml:space="preserve">alternatives </w:t>
      </w:r>
      <w:r w:rsidRPr="006A54AB">
        <w:t>that work</w:t>
      </w:r>
      <w:r>
        <w:t xml:space="preserve">. </w:t>
      </w:r>
    </w:p>
    <w:p w:rsidR="003E28B2" w:rsidRPr="006A54AB" w:rsidRDefault="003E28B2" w:rsidP="003E28B2">
      <w:pPr>
        <w:spacing w:line="240" w:lineRule="auto"/>
      </w:pPr>
      <w:r w:rsidRPr="006A54AB">
        <w:t xml:space="preserve">Developed in 2005 </w:t>
      </w:r>
      <w:r>
        <w:t>by the Safe and Sound Campaign in collaboration with the Governor’s Office for Children and the Annie E. Casey Foundation, t</w:t>
      </w:r>
      <w:r w:rsidRPr="006A54AB">
        <w:t xml:space="preserve">he Maryland Opportunity Compact uses one-time grants to seed programs for the </w:t>
      </w:r>
      <w:r w:rsidRPr="006A54AB">
        <w:rPr>
          <w:i/>
        </w:rPr>
        <w:t>exact same persons</w:t>
      </w:r>
      <w:r w:rsidRPr="006A54AB">
        <w:t xml:space="preserve"> </w:t>
      </w:r>
      <w:r w:rsidRPr="006A54AB">
        <w:rPr>
          <w:i/>
        </w:rPr>
        <w:t>who would</w:t>
      </w:r>
      <w:r w:rsidRPr="006A54AB">
        <w:t xml:space="preserve"> </w:t>
      </w:r>
      <w:r w:rsidRPr="006A54AB">
        <w:rPr>
          <w:i/>
          <w:u w:val="single"/>
        </w:rPr>
        <w:t>otherwise</w:t>
      </w:r>
      <w:r w:rsidRPr="006A54AB">
        <w:rPr>
          <w:i/>
        </w:rPr>
        <w:t xml:space="preserve"> be under the </w:t>
      </w:r>
      <w:r>
        <w:rPr>
          <w:i/>
        </w:rPr>
        <w:t xml:space="preserve">custodial </w:t>
      </w:r>
      <w:r w:rsidRPr="006A54AB">
        <w:rPr>
          <w:i/>
        </w:rPr>
        <w:t xml:space="preserve">care and supervision of the </w:t>
      </w:r>
      <w:r w:rsidR="00EF024E">
        <w:rPr>
          <w:i/>
        </w:rPr>
        <w:t>S</w:t>
      </w:r>
      <w:r w:rsidRPr="006A54AB">
        <w:rPr>
          <w:i/>
        </w:rPr>
        <w:t>tate.</w:t>
      </w:r>
      <w:r w:rsidRPr="006A54AB">
        <w:t xml:space="preserve"> </w:t>
      </w:r>
    </w:p>
    <w:p w:rsidR="003E28B2" w:rsidRDefault="003E28B2" w:rsidP="003E28B2">
      <w:pPr>
        <w:spacing w:line="240" w:lineRule="auto"/>
      </w:pPr>
      <w:r>
        <w:t xml:space="preserve">An agreement is made between the </w:t>
      </w:r>
      <w:r w:rsidR="00EF024E">
        <w:t>S</w:t>
      </w:r>
      <w:r>
        <w:t xml:space="preserve">tate and program partners to </w:t>
      </w:r>
      <w:r w:rsidRPr="00EF024E">
        <w:rPr>
          <w:i/>
          <w:u w:val="single"/>
        </w:rPr>
        <w:t xml:space="preserve">share </w:t>
      </w:r>
      <w:r w:rsidRPr="00A05950">
        <w:rPr>
          <w:i/>
          <w:u w:val="single"/>
        </w:rPr>
        <w:t>savings if the alternative program produces a better outcome for the same individuals for less funding</w:t>
      </w:r>
      <w:r>
        <w:rPr>
          <w:i/>
          <w:u w:val="single"/>
        </w:rPr>
        <w:t xml:space="preserve">. </w:t>
      </w:r>
    </w:p>
    <w:p w:rsidR="003E28B2" w:rsidRDefault="003E28B2" w:rsidP="003E28B2">
      <w:pPr>
        <w:spacing w:line="240" w:lineRule="auto"/>
      </w:pPr>
      <w:r w:rsidRPr="006A54AB">
        <w:t>Under an Opportunity Compact, programs are awarded funding based on documented results thereby</w:t>
      </w:r>
      <w:r>
        <w:t>,</w:t>
      </w:r>
      <w:r w:rsidRPr="006A54AB">
        <w:t xml:space="preserve"> upon </w:t>
      </w:r>
      <w:r>
        <w:t xml:space="preserve">achieving </w:t>
      </w:r>
      <w:r w:rsidRPr="006A54AB">
        <w:t xml:space="preserve">measureable success, programs are assured of the resources to retain skilled employees and strengthen the services offered.  Program participants have an unprecedented chance to turn their lives around and Maryland benefits from those who return home, fully prepared to be productive members of our communities. </w:t>
      </w:r>
    </w:p>
    <w:p w:rsidR="003E28B2" w:rsidRDefault="003E28B2" w:rsidP="003E28B2">
      <w:pPr>
        <w:spacing w:line="240" w:lineRule="auto"/>
      </w:pPr>
      <w:r w:rsidRPr="00C07502">
        <w:rPr>
          <w:b/>
          <w:i/>
        </w:rPr>
        <w:t>Public Safety Compact (PSC)</w:t>
      </w:r>
      <w:r>
        <w:t xml:space="preserve">, organized by the Safe and Sound Campaign, with seed funding and guidance from the Open Society Institute – Baltimore, is currently in use to reduce the number of years eligible adult inmates serve behind bars. </w:t>
      </w:r>
      <w:r w:rsidR="00EF024E">
        <w:t xml:space="preserve"> </w:t>
      </w:r>
      <w:r>
        <w:t xml:space="preserve">The savings that accrue are reinvested to support successful reentry, reduction in recidivism and an increase in public safety.  The following charts summarize the PSC’s success in its first five years of operation. </w:t>
      </w:r>
    </w:p>
    <w:p w:rsidR="00C15689" w:rsidRPr="006A54AB" w:rsidRDefault="00C15689" w:rsidP="00C15689">
      <w:pPr>
        <w:rPr>
          <w:i/>
        </w:rPr>
      </w:pPr>
    </w:p>
    <w:p w:rsidR="00C15689" w:rsidRDefault="00C15689" w:rsidP="00C15689">
      <w:r w:rsidRPr="006A54AB">
        <w:t xml:space="preserve"> </w:t>
      </w:r>
    </w:p>
    <w:p w:rsidR="006543FE" w:rsidRDefault="006543FE" w:rsidP="00C15689"/>
    <w:p w:rsidR="006543FE" w:rsidRPr="006A54AB" w:rsidRDefault="006543FE" w:rsidP="00C15689"/>
    <w:p w:rsidR="00D77358" w:rsidRDefault="00D77358">
      <w:pPr>
        <w:rPr>
          <w:b/>
          <w:i/>
        </w:rPr>
      </w:pPr>
    </w:p>
    <w:p w:rsidR="00D77358" w:rsidRDefault="00D77358">
      <w:pPr>
        <w:rPr>
          <w:b/>
          <w:i/>
        </w:rPr>
      </w:pPr>
    </w:p>
    <w:p w:rsidR="00D77358" w:rsidRDefault="00D77358">
      <w:pPr>
        <w:rPr>
          <w:b/>
          <w:i/>
        </w:rPr>
      </w:pPr>
    </w:p>
    <w:p w:rsidR="00D77358" w:rsidRDefault="00D77358">
      <w:pPr>
        <w:rPr>
          <w:b/>
          <w:i/>
        </w:rPr>
      </w:pPr>
    </w:p>
    <w:p w:rsidR="00D77358" w:rsidRDefault="00D77358">
      <w:pPr>
        <w:rPr>
          <w:b/>
          <w:i/>
        </w:rPr>
      </w:pPr>
    </w:p>
    <w:p w:rsidR="00D77358" w:rsidRDefault="00D77358">
      <w:pPr>
        <w:rPr>
          <w:b/>
          <w:i/>
        </w:rPr>
      </w:pPr>
    </w:p>
    <w:p w:rsidR="00D77358" w:rsidRDefault="00D77358">
      <w:pPr>
        <w:rPr>
          <w:b/>
          <w:i/>
        </w:rPr>
      </w:pPr>
    </w:p>
    <w:p w:rsidR="001D4A57" w:rsidRDefault="003E28B2" w:rsidP="00E02FBA">
      <w:pPr>
        <w:rPr>
          <w:b/>
          <w:i/>
        </w:rPr>
      </w:pPr>
      <w:r>
        <w:rPr>
          <w:b/>
          <w:sz w:val="36"/>
          <w:szCs w:val="36"/>
        </w:rPr>
        <w:lastRenderedPageBreak/>
        <w:t>P</w:t>
      </w:r>
      <w:r w:rsidR="00A30421" w:rsidRPr="00197A70">
        <w:rPr>
          <w:b/>
          <w:sz w:val="36"/>
          <w:szCs w:val="36"/>
        </w:rPr>
        <w:t>ublic Safety Compact</w:t>
      </w:r>
      <w:r w:rsidR="009913D7" w:rsidRPr="00197A70">
        <w:rPr>
          <w:b/>
          <w:sz w:val="36"/>
          <w:szCs w:val="36"/>
        </w:rPr>
        <w:t xml:space="preserve"> (PSC)</w:t>
      </w:r>
      <w:r w:rsidR="00E17B36" w:rsidRPr="00197A70">
        <w:rPr>
          <w:b/>
          <w:sz w:val="36"/>
          <w:szCs w:val="36"/>
        </w:rPr>
        <w:t xml:space="preserve"> </w:t>
      </w:r>
      <w:r w:rsidR="00A30421" w:rsidRPr="00197A70">
        <w:rPr>
          <w:b/>
        </w:rPr>
        <w:t xml:space="preserve"> </w:t>
      </w:r>
      <w:r w:rsidR="001D4A57" w:rsidRPr="00197A70">
        <w:rPr>
          <w:b/>
        </w:rPr>
        <w:br/>
      </w:r>
      <w:r w:rsidR="001D4A57">
        <w:rPr>
          <w:b/>
          <w:i/>
        </w:rPr>
        <w:t xml:space="preserve">Reduces the time adults serve in prison by providing drug treatment </w:t>
      </w:r>
      <w:r w:rsidR="00197A70">
        <w:rPr>
          <w:b/>
          <w:i/>
        </w:rPr>
        <w:t xml:space="preserve">in prison </w:t>
      </w:r>
      <w:r w:rsidR="001D4A57">
        <w:rPr>
          <w:b/>
          <w:i/>
        </w:rPr>
        <w:t>and</w:t>
      </w:r>
      <w:r w:rsidR="00EF024E">
        <w:rPr>
          <w:b/>
          <w:i/>
        </w:rPr>
        <w:t>,</w:t>
      </w:r>
      <w:r w:rsidR="001D4A57">
        <w:rPr>
          <w:b/>
          <w:i/>
        </w:rPr>
        <w:t xml:space="preserve"> </w:t>
      </w:r>
      <w:r w:rsidR="00076665">
        <w:rPr>
          <w:b/>
          <w:i/>
        </w:rPr>
        <w:t xml:space="preserve">upon release, </w:t>
      </w:r>
      <w:r w:rsidR="001D4A57">
        <w:rPr>
          <w:b/>
          <w:i/>
        </w:rPr>
        <w:t xml:space="preserve">case management </w:t>
      </w:r>
      <w:r w:rsidR="00076665">
        <w:rPr>
          <w:b/>
          <w:i/>
        </w:rPr>
        <w:t xml:space="preserve">and </w:t>
      </w:r>
      <w:r w:rsidR="001D4A57">
        <w:rPr>
          <w:b/>
          <w:i/>
        </w:rPr>
        <w:t xml:space="preserve">an array of recovery, educational and job opportunities. </w:t>
      </w:r>
    </w:p>
    <w:p w:rsidR="00930853" w:rsidRPr="006A54AB" w:rsidRDefault="001D4A57" w:rsidP="00E02FBA">
      <w:r w:rsidRPr="006A54AB">
        <w:t>The objective is to reduce the number of people, who upon release struggle to make it, and eventually r</w:t>
      </w:r>
      <w:r w:rsidR="002A6AEF">
        <w:t xml:space="preserve">eturn to prison – typically on </w:t>
      </w:r>
      <w:r w:rsidRPr="006A54AB">
        <w:t xml:space="preserve">a drug possession or distribution charge. </w:t>
      </w:r>
      <w:r w:rsidR="00076665" w:rsidRPr="006A54AB">
        <w:t xml:space="preserve"> </w:t>
      </w:r>
      <w:r w:rsidRPr="006A54AB">
        <w:t>Created with a one-time seed grant of $2.5 million in 2010, the Public Safety Compact has</w:t>
      </w:r>
      <w:r w:rsidR="001337C5">
        <w:t xml:space="preserve"> produced</w:t>
      </w:r>
      <w:r w:rsidRPr="006A54AB">
        <w:t xml:space="preserve"> $</w:t>
      </w:r>
      <w:r w:rsidR="001E094E" w:rsidRPr="006A54AB">
        <w:t>2.8</w:t>
      </w:r>
      <w:r w:rsidRPr="006A54AB">
        <w:t xml:space="preserve"> million in </w:t>
      </w:r>
      <w:r w:rsidR="001E094E" w:rsidRPr="006A54AB">
        <w:t xml:space="preserve">public </w:t>
      </w:r>
      <w:r w:rsidRPr="006A54AB">
        <w:t xml:space="preserve">savings </w:t>
      </w:r>
      <w:r w:rsidR="00197A70" w:rsidRPr="006A54AB">
        <w:t xml:space="preserve">and a 9% </w:t>
      </w:r>
      <w:r w:rsidR="00DD6C5E">
        <w:t>recidivism</w:t>
      </w:r>
      <w:r w:rsidR="00197A70" w:rsidRPr="006A54AB">
        <w:t xml:space="preserve"> rate among graduates</w:t>
      </w:r>
      <w:r w:rsidR="00706ED1">
        <w:t xml:space="preserve"> (three years post-release)</w:t>
      </w:r>
      <w:r w:rsidR="00197A70" w:rsidRPr="006A54AB">
        <w:t>.  In 2013-4 Choice R</w:t>
      </w:r>
      <w:r w:rsidR="002A6AEF">
        <w:t xml:space="preserve">esearch Associates conducted a </w:t>
      </w:r>
      <w:r w:rsidR="00197A70" w:rsidRPr="006A54AB">
        <w:t xml:space="preserve">rigorous evaluation comparing the PSC participants to a control group. </w:t>
      </w:r>
      <w:r w:rsidR="00EF024E">
        <w:t xml:space="preserve"> </w:t>
      </w:r>
      <w:r w:rsidR="00197A70" w:rsidRPr="006A54AB">
        <w:t xml:space="preserve">Controlling for a full range of variables, the report found significant statistical </w:t>
      </w:r>
      <w:r w:rsidR="00076665" w:rsidRPr="006A54AB">
        <w:t>difference</w:t>
      </w:r>
      <w:r w:rsidR="00197A70" w:rsidRPr="006A54AB">
        <w:t xml:space="preserve"> in the rate of the PSC participants</w:t>
      </w:r>
      <w:r w:rsidR="00076665" w:rsidRPr="006A54AB">
        <w:t>’</w:t>
      </w:r>
      <w:r w:rsidR="00197A70" w:rsidRPr="006A54AB">
        <w:t xml:space="preserve"> success derived both from the comprehensive services provided and the determination of the returning citizens to take full advantage of the unprecedented opportunities.   </w:t>
      </w:r>
    </w:p>
    <w:p w:rsidR="001A6BF3" w:rsidRDefault="001A6BF3" w:rsidP="00E02FBA">
      <w:pPr>
        <w:rPr>
          <w:b/>
          <w:i/>
          <w:sz w:val="28"/>
          <w:szCs w:val="28"/>
        </w:rPr>
      </w:pPr>
      <w:r>
        <w:rPr>
          <w:b/>
          <w:i/>
          <w:noProof/>
          <w:sz w:val="28"/>
          <w:szCs w:val="28"/>
        </w:rPr>
        <w:drawing>
          <wp:inline distT="0" distB="0" distL="0" distR="0">
            <wp:extent cx="5840083" cy="2449902"/>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913D7" w:rsidRDefault="009913D7" w:rsidP="00E02FBA">
      <w:pPr>
        <w:rPr>
          <w:b/>
          <w:i/>
          <w:sz w:val="28"/>
          <w:szCs w:val="28"/>
        </w:rPr>
      </w:pPr>
      <w:r>
        <w:rPr>
          <w:b/>
          <w:i/>
          <w:noProof/>
          <w:sz w:val="28"/>
          <w:szCs w:val="28"/>
        </w:rPr>
        <w:drawing>
          <wp:inline distT="0" distB="0" distL="0" distR="0">
            <wp:extent cx="5822830" cy="2424022"/>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9913D7" w:rsidSect="0095527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D72" w:rsidRDefault="00B62D72" w:rsidP="00116F53">
      <w:pPr>
        <w:spacing w:after="0" w:line="240" w:lineRule="auto"/>
      </w:pPr>
      <w:r>
        <w:separator/>
      </w:r>
    </w:p>
  </w:endnote>
  <w:endnote w:type="continuationSeparator" w:id="0">
    <w:p w:rsidR="00B62D72" w:rsidRDefault="00B62D72" w:rsidP="00116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FC" w:rsidRDefault="008A20FC" w:rsidP="00F87C7B">
    <w:pPr>
      <w:pStyle w:val="Footer"/>
      <w:pBdr>
        <w:top w:val="thinThickSmallGap" w:sz="24" w:space="1" w:color="622423" w:themeColor="accent2" w:themeShade="7F"/>
      </w:pBdr>
      <w:rPr>
        <w:rFonts w:asciiTheme="majorHAnsi" w:hAnsiTheme="majorHAnsi"/>
        <w:b/>
        <w:sz w:val="20"/>
        <w:szCs w:val="20"/>
      </w:rPr>
    </w:pPr>
    <w:r>
      <w:rPr>
        <w:rFonts w:asciiTheme="majorHAnsi" w:hAnsiTheme="majorHAnsi"/>
        <w:b/>
        <w:sz w:val="20"/>
        <w:szCs w:val="20"/>
      </w:rPr>
      <w:t>Provided by Baltimore’s Safe &amp; Sound Campaign</w:t>
    </w:r>
  </w:p>
  <w:p w:rsidR="006A54AB" w:rsidRDefault="006A54AB" w:rsidP="00F87C7B">
    <w:pPr>
      <w:pStyle w:val="Footer"/>
      <w:pBdr>
        <w:top w:val="thinThickSmallGap" w:sz="24" w:space="1" w:color="622423" w:themeColor="accent2" w:themeShade="7F"/>
      </w:pBdr>
      <w:rPr>
        <w:rFonts w:asciiTheme="majorHAnsi" w:hAnsiTheme="majorHAnsi"/>
      </w:rPr>
    </w:pPr>
    <w:r w:rsidRPr="004237C6">
      <w:rPr>
        <w:rFonts w:asciiTheme="majorHAnsi" w:hAnsiTheme="majorHAnsi"/>
        <w:b/>
        <w:sz w:val="20"/>
        <w:szCs w:val="20"/>
      </w:rPr>
      <w:t xml:space="preserve">Contact: Hathaway </w:t>
    </w:r>
    <w:proofErr w:type="spellStart"/>
    <w:r w:rsidRPr="004237C6">
      <w:rPr>
        <w:rFonts w:asciiTheme="majorHAnsi" w:hAnsiTheme="majorHAnsi"/>
        <w:b/>
        <w:sz w:val="20"/>
        <w:szCs w:val="20"/>
      </w:rPr>
      <w:t>Ferebee</w:t>
    </w:r>
    <w:proofErr w:type="spellEnd"/>
    <w:r>
      <w:rPr>
        <w:rFonts w:asciiTheme="majorHAnsi" w:hAnsiTheme="majorHAnsi"/>
        <w:b/>
        <w:sz w:val="20"/>
        <w:szCs w:val="20"/>
      </w:rPr>
      <w:t xml:space="preserve">: </w:t>
    </w:r>
    <w:r w:rsidRPr="004237C6">
      <w:rPr>
        <w:rFonts w:asciiTheme="majorHAnsi" w:hAnsiTheme="majorHAnsi"/>
        <w:b/>
        <w:sz w:val="20"/>
        <w:szCs w:val="20"/>
      </w:rPr>
      <w:t xml:space="preserve">Safe and Sound Campaign </w:t>
    </w:r>
    <w:r w:rsidR="00706ED1">
      <w:rPr>
        <w:rFonts w:asciiTheme="majorHAnsi" w:hAnsiTheme="majorHAnsi"/>
        <w:b/>
        <w:sz w:val="20"/>
        <w:szCs w:val="20"/>
      </w:rPr>
      <w:t>∙</w:t>
    </w:r>
    <w:r>
      <w:rPr>
        <w:rFonts w:asciiTheme="majorHAnsi" w:hAnsiTheme="majorHAnsi"/>
        <w:b/>
        <w:sz w:val="20"/>
        <w:szCs w:val="20"/>
      </w:rPr>
      <w:t xml:space="preserve"> </w:t>
    </w:r>
    <w:hyperlink r:id="rId1" w:history="1">
      <w:r w:rsidRPr="004237C6">
        <w:rPr>
          <w:rStyle w:val="Hyperlink"/>
          <w:rFonts w:asciiTheme="majorHAnsi" w:hAnsiTheme="majorHAnsi"/>
          <w:b/>
          <w:sz w:val="20"/>
          <w:szCs w:val="20"/>
        </w:rPr>
        <w:t>hferebee@safeandsound.org</w:t>
      </w:r>
    </w:hyperlink>
    <w:r w:rsidRPr="004237C6">
      <w:rPr>
        <w:rFonts w:asciiTheme="majorHAnsi" w:hAnsiTheme="majorHAnsi"/>
        <w:b/>
        <w:sz w:val="20"/>
        <w:szCs w:val="20"/>
      </w:rPr>
      <w:t xml:space="preserve"> </w:t>
    </w:r>
    <w:r w:rsidR="00706ED1">
      <w:rPr>
        <w:rFonts w:asciiTheme="majorHAnsi" w:hAnsiTheme="majorHAnsi"/>
        <w:b/>
        <w:sz w:val="20"/>
        <w:szCs w:val="20"/>
      </w:rPr>
      <w:t>∙</w:t>
    </w:r>
    <w:r>
      <w:rPr>
        <w:rFonts w:asciiTheme="majorHAnsi" w:hAnsiTheme="majorHAnsi"/>
        <w:b/>
        <w:sz w:val="20"/>
        <w:szCs w:val="20"/>
      </w:rPr>
      <w:t xml:space="preserve"> </w:t>
    </w:r>
    <w:r w:rsidRPr="004237C6">
      <w:rPr>
        <w:rFonts w:asciiTheme="majorHAnsi" w:hAnsiTheme="majorHAnsi"/>
        <w:b/>
        <w:sz w:val="20"/>
        <w:szCs w:val="20"/>
      </w:rPr>
      <w:t>(410) 625</w:t>
    </w:r>
    <w:r>
      <w:rPr>
        <w:rFonts w:asciiTheme="majorHAnsi" w:hAnsiTheme="majorHAnsi"/>
        <w:b/>
        <w:sz w:val="20"/>
        <w:szCs w:val="20"/>
      </w:rPr>
      <w:t>-7976</w:t>
    </w:r>
    <w:r w:rsidR="00706ED1">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rsidR="008D3FAC">
      <w:fldChar w:fldCharType="begin"/>
    </w:r>
    <w:r w:rsidR="008D3FAC">
      <w:instrText xml:space="preserve"> PAGE   \* MERGEFORMAT </w:instrText>
    </w:r>
    <w:r w:rsidR="008D3FAC">
      <w:fldChar w:fldCharType="separate"/>
    </w:r>
    <w:r w:rsidR="008A20FC" w:rsidRPr="008A20FC">
      <w:rPr>
        <w:rFonts w:asciiTheme="majorHAnsi" w:hAnsiTheme="majorHAnsi"/>
        <w:noProof/>
      </w:rPr>
      <w:t>1</w:t>
    </w:r>
    <w:r w:rsidR="008D3FAC">
      <w:rPr>
        <w:rFonts w:asciiTheme="majorHAnsi" w:hAnsiTheme="majorHAnsi"/>
        <w:noProof/>
      </w:rPr>
      <w:fldChar w:fldCharType="end"/>
    </w:r>
  </w:p>
  <w:p w:rsidR="006A54AB" w:rsidRDefault="006A5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D72" w:rsidRDefault="00B62D72" w:rsidP="00116F53">
      <w:pPr>
        <w:spacing w:after="0" w:line="240" w:lineRule="auto"/>
      </w:pPr>
      <w:r>
        <w:separator/>
      </w:r>
    </w:p>
  </w:footnote>
  <w:footnote w:type="continuationSeparator" w:id="0">
    <w:p w:rsidR="00B62D72" w:rsidRDefault="00B62D72" w:rsidP="00116F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81"/>
    <w:rsid w:val="00076665"/>
    <w:rsid w:val="001155FD"/>
    <w:rsid w:val="00116F53"/>
    <w:rsid w:val="001337C5"/>
    <w:rsid w:val="001642A4"/>
    <w:rsid w:val="00172397"/>
    <w:rsid w:val="00197A70"/>
    <w:rsid w:val="001A6BF3"/>
    <w:rsid w:val="001B085A"/>
    <w:rsid w:val="001C01FD"/>
    <w:rsid w:val="001D4A57"/>
    <w:rsid w:val="001E094E"/>
    <w:rsid w:val="002A6AEF"/>
    <w:rsid w:val="003153A2"/>
    <w:rsid w:val="0033650E"/>
    <w:rsid w:val="00352EBD"/>
    <w:rsid w:val="003E28B2"/>
    <w:rsid w:val="003E5D18"/>
    <w:rsid w:val="004237C6"/>
    <w:rsid w:val="004339DF"/>
    <w:rsid w:val="005C0EAE"/>
    <w:rsid w:val="005C3A2B"/>
    <w:rsid w:val="005E1BB1"/>
    <w:rsid w:val="005F1CDD"/>
    <w:rsid w:val="006543FE"/>
    <w:rsid w:val="00657BD5"/>
    <w:rsid w:val="006A54AB"/>
    <w:rsid w:val="00706ED1"/>
    <w:rsid w:val="007439A6"/>
    <w:rsid w:val="00752B62"/>
    <w:rsid w:val="00752DB3"/>
    <w:rsid w:val="008A20FC"/>
    <w:rsid w:val="008D3FAC"/>
    <w:rsid w:val="00930853"/>
    <w:rsid w:val="00955272"/>
    <w:rsid w:val="009913D7"/>
    <w:rsid w:val="00A30421"/>
    <w:rsid w:val="00AE1348"/>
    <w:rsid w:val="00B62D72"/>
    <w:rsid w:val="00B85781"/>
    <w:rsid w:val="00BF411F"/>
    <w:rsid w:val="00BF5005"/>
    <w:rsid w:val="00C15689"/>
    <w:rsid w:val="00C23CEF"/>
    <w:rsid w:val="00C47847"/>
    <w:rsid w:val="00CC0F12"/>
    <w:rsid w:val="00CC1DBD"/>
    <w:rsid w:val="00D77358"/>
    <w:rsid w:val="00DA0041"/>
    <w:rsid w:val="00DD6C5E"/>
    <w:rsid w:val="00E02FBA"/>
    <w:rsid w:val="00E17B36"/>
    <w:rsid w:val="00E41984"/>
    <w:rsid w:val="00E51C36"/>
    <w:rsid w:val="00E958D5"/>
    <w:rsid w:val="00EA2959"/>
    <w:rsid w:val="00ED020F"/>
    <w:rsid w:val="00EF024E"/>
    <w:rsid w:val="00F87C7B"/>
    <w:rsid w:val="00FC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FB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1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53"/>
  </w:style>
  <w:style w:type="paragraph" w:styleId="Footer">
    <w:name w:val="footer"/>
    <w:basedOn w:val="Normal"/>
    <w:link w:val="FooterChar"/>
    <w:uiPriority w:val="99"/>
    <w:unhideWhenUsed/>
    <w:rsid w:val="0011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53"/>
  </w:style>
  <w:style w:type="paragraph" w:styleId="BalloonText">
    <w:name w:val="Balloon Text"/>
    <w:basedOn w:val="Normal"/>
    <w:link w:val="BalloonTextChar"/>
    <w:uiPriority w:val="99"/>
    <w:semiHidden/>
    <w:unhideWhenUsed/>
    <w:rsid w:val="0011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53"/>
    <w:rPr>
      <w:rFonts w:ascii="Tahoma" w:hAnsi="Tahoma" w:cs="Tahoma"/>
      <w:sz w:val="16"/>
      <w:szCs w:val="16"/>
    </w:rPr>
  </w:style>
  <w:style w:type="paragraph" w:styleId="NoSpacing">
    <w:name w:val="No Spacing"/>
    <w:uiPriority w:val="1"/>
    <w:qFormat/>
    <w:rsid w:val="00FC277A"/>
    <w:pPr>
      <w:spacing w:after="0" w:line="240" w:lineRule="auto"/>
    </w:pPr>
  </w:style>
  <w:style w:type="character" w:styleId="Hyperlink">
    <w:name w:val="Hyperlink"/>
    <w:basedOn w:val="DefaultParagraphFont"/>
    <w:uiPriority w:val="99"/>
    <w:unhideWhenUsed/>
    <w:rsid w:val="001155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2FB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16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53"/>
  </w:style>
  <w:style w:type="paragraph" w:styleId="Footer">
    <w:name w:val="footer"/>
    <w:basedOn w:val="Normal"/>
    <w:link w:val="FooterChar"/>
    <w:uiPriority w:val="99"/>
    <w:unhideWhenUsed/>
    <w:rsid w:val="00116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53"/>
  </w:style>
  <w:style w:type="paragraph" w:styleId="BalloonText">
    <w:name w:val="Balloon Text"/>
    <w:basedOn w:val="Normal"/>
    <w:link w:val="BalloonTextChar"/>
    <w:uiPriority w:val="99"/>
    <w:semiHidden/>
    <w:unhideWhenUsed/>
    <w:rsid w:val="0011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F53"/>
    <w:rPr>
      <w:rFonts w:ascii="Tahoma" w:hAnsi="Tahoma" w:cs="Tahoma"/>
      <w:sz w:val="16"/>
      <w:szCs w:val="16"/>
    </w:rPr>
  </w:style>
  <w:style w:type="paragraph" w:styleId="NoSpacing">
    <w:name w:val="No Spacing"/>
    <w:uiPriority w:val="1"/>
    <w:qFormat/>
    <w:rsid w:val="00FC277A"/>
    <w:pPr>
      <w:spacing w:after="0" w:line="240" w:lineRule="auto"/>
    </w:pPr>
  </w:style>
  <w:style w:type="character" w:styleId="Hyperlink">
    <w:name w:val="Hyperlink"/>
    <w:basedOn w:val="DefaultParagraphFont"/>
    <w:uiPriority w:val="99"/>
    <w:unhideWhenUsed/>
    <w:rsid w:val="001155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ferebee@safeandsound.org"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8"/>
    </mc:Choice>
    <mc:Fallback>
      <c:style val="48"/>
    </mc:Fallback>
  </mc:AlternateContent>
  <c:chart>
    <c:title>
      <c:layout>
        <c:manualLayout>
          <c:xMode val="edge"/>
          <c:yMode val="edge"/>
          <c:x val="0.34610158793976109"/>
          <c:y val="7.7998569002631815E-2"/>
        </c:manualLayout>
      </c:layout>
      <c:overlay val="0"/>
    </c:title>
    <c:autoTitleDeleted val="0"/>
    <c:plotArea>
      <c:layout/>
      <c:barChart>
        <c:barDir val="col"/>
        <c:grouping val="clustered"/>
        <c:varyColors val="0"/>
        <c:ser>
          <c:idx val="0"/>
          <c:order val="0"/>
          <c:tx>
            <c:strRef>
              <c:f>Sheet1!$B$1</c:f>
              <c:strCache>
                <c:ptCount val="1"/>
                <c:pt idx="0">
                  <c:v>Millions of Dollars</c:v>
                </c:pt>
              </c:strCache>
            </c:strRef>
          </c:tx>
          <c:invertIfNegative val="0"/>
          <c:cat>
            <c:strRef>
              <c:f>Sheet1!$A$2:$A$5</c:f>
              <c:strCache>
                <c:ptCount val="2"/>
                <c:pt idx="0">
                  <c:v>One Time Investment</c:v>
                </c:pt>
                <c:pt idx="1">
                  <c:v>PSC Savings </c:v>
                </c:pt>
              </c:strCache>
            </c:strRef>
          </c:cat>
          <c:val>
            <c:numRef>
              <c:f>Sheet1!$B$2:$B$5</c:f>
              <c:numCache>
                <c:formatCode>General</c:formatCode>
                <c:ptCount val="4"/>
                <c:pt idx="0">
                  <c:v>2.2999999999999998</c:v>
                </c:pt>
                <c:pt idx="1">
                  <c:v>2.8</c:v>
                </c:pt>
              </c:numCache>
            </c:numRef>
          </c:val>
        </c:ser>
        <c:ser>
          <c:idx val="1"/>
          <c:order val="1"/>
          <c:tx>
            <c:strRef>
              <c:f>Sheet1!$C$1</c:f>
              <c:strCache>
                <c:ptCount val="1"/>
                <c:pt idx="0">
                  <c:v>Column1</c:v>
                </c:pt>
              </c:strCache>
            </c:strRef>
          </c:tx>
          <c:invertIfNegative val="0"/>
          <c:cat>
            <c:strRef>
              <c:f>Sheet1!$A$2:$A$5</c:f>
              <c:strCache>
                <c:ptCount val="2"/>
                <c:pt idx="0">
                  <c:v>One Time Investment</c:v>
                </c:pt>
                <c:pt idx="1">
                  <c:v>PSC Savings </c:v>
                </c:pt>
              </c:strCache>
            </c:strRef>
          </c:cat>
          <c:val>
            <c:numRef>
              <c:f>Sheet1!$C$2:$C$5</c:f>
            </c:numRef>
          </c:val>
        </c:ser>
        <c:ser>
          <c:idx val="2"/>
          <c:order val="2"/>
          <c:tx>
            <c:strRef>
              <c:f>Sheet1!$D$1</c:f>
              <c:strCache>
                <c:ptCount val="1"/>
                <c:pt idx="0">
                  <c:v>Column2</c:v>
                </c:pt>
              </c:strCache>
            </c:strRef>
          </c:tx>
          <c:invertIfNegative val="0"/>
          <c:cat>
            <c:strRef>
              <c:f>Sheet1!$A$2:$A$5</c:f>
              <c:strCache>
                <c:ptCount val="2"/>
                <c:pt idx="0">
                  <c:v>One Time Investment</c:v>
                </c:pt>
                <c:pt idx="1">
                  <c:v>PSC Savings </c:v>
                </c:pt>
              </c:strCache>
            </c:strRef>
          </c:cat>
          <c:val>
            <c:numRef>
              <c:f>Sheet1!$D$2:$D$5</c:f>
            </c:numRef>
          </c:val>
        </c:ser>
        <c:dLbls>
          <c:showLegendKey val="0"/>
          <c:showVal val="0"/>
          <c:showCatName val="0"/>
          <c:showSerName val="0"/>
          <c:showPercent val="0"/>
          <c:showBubbleSize val="0"/>
        </c:dLbls>
        <c:gapWidth val="150"/>
        <c:axId val="51022080"/>
        <c:axId val="51320320"/>
      </c:barChart>
      <c:catAx>
        <c:axId val="51022080"/>
        <c:scaling>
          <c:orientation val="minMax"/>
        </c:scaling>
        <c:delete val="0"/>
        <c:axPos val="b"/>
        <c:majorTickMark val="out"/>
        <c:minorTickMark val="none"/>
        <c:tickLblPos val="nextTo"/>
        <c:crossAx val="51320320"/>
        <c:crosses val="autoZero"/>
        <c:auto val="1"/>
        <c:lblAlgn val="ctr"/>
        <c:lblOffset val="100"/>
        <c:noMultiLvlLbl val="0"/>
      </c:catAx>
      <c:valAx>
        <c:axId val="51320320"/>
        <c:scaling>
          <c:orientation val="minMax"/>
        </c:scaling>
        <c:delete val="0"/>
        <c:axPos val="l"/>
        <c:majorGridlines/>
        <c:numFmt formatCode="General" sourceLinked="1"/>
        <c:majorTickMark val="out"/>
        <c:minorTickMark val="none"/>
        <c:tickLblPos val="nextTo"/>
        <c:crossAx val="510220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8"/>
    </mc:Choice>
    <mc:Fallback>
      <c:style val="48"/>
    </mc:Fallback>
  </mc:AlternateContent>
  <c:chart>
    <c:title>
      <c:layout/>
      <c:overlay val="0"/>
    </c:title>
    <c:autoTitleDeleted val="0"/>
    <c:plotArea>
      <c:layout/>
      <c:barChart>
        <c:barDir val="col"/>
        <c:grouping val="clustered"/>
        <c:varyColors val="0"/>
        <c:ser>
          <c:idx val="0"/>
          <c:order val="0"/>
          <c:tx>
            <c:strRef>
              <c:f>Sheet1!$B$1</c:f>
              <c:strCache>
                <c:ptCount val="1"/>
                <c:pt idx="0">
                  <c:v>Recidivism -% after 3 years </c:v>
                </c:pt>
              </c:strCache>
            </c:strRef>
          </c:tx>
          <c:invertIfNegative val="0"/>
          <c:cat>
            <c:strRef>
              <c:f>Sheet1!$A$2:$A$5</c:f>
              <c:strCache>
                <c:ptCount val="2"/>
                <c:pt idx="0">
                  <c:v>Recidivism % without PSC</c:v>
                </c:pt>
                <c:pt idx="1">
                  <c:v>Recidivism % for PSC participants</c:v>
                </c:pt>
              </c:strCache>
            </c:strRef>
          </c:cat>
          <c:val>
            <c:numRef>
              <c:f>Sheet1!$B$2:$B$5</c:f>
              <c:numCache>
                <c:formatCode>General</c:formatCode>
                <c:ptCount val="4"/>
                <c:pt idx="0">
                  <c:v>40.5</c:v>
                </c:pt>
                <c:pt idx="1">
                  <c:v>9</c:v>
                </c:pt>
              </c:numCache>
            </c:numRef>
          </c:val>
        </c:ser>
        <c:ser>
          <c:idx val="1"/>
          <c:order val="1"/>
          <c:tx>
            <c:strRef>
              <c:f>Sheet1!$C$1</c:f>
              <c:strCache>
                <c:ptCount val="1"/>
                <c:pt idx="0">
                  <c:v>% after 3 years</c:v>
                </c:pt>
              </c:strCache>
            </c:strRef>
          </c:tx>
          <c:invertIfNegative val="0"/>
          <c:cat>
            <c:strRef>
              <c:f>Sheet1!$A$2:$A$5</c:f>
              <c:strCache>
                <c:ptCount val="2"/>
                <c:pt idx="0">
                  <c:v>Recidivism % without PSC</c:v>
                </c:pt>
                <c:pt idx="1">
                  <c:v>Recidivism % for PSC participants</c:v>
                </c:pt>
              </c:strCache>
            </c:strRef>
          </c:cat>
          <c:val>
            <c:numRef>
              <c:f>Sheet1!$C$2:$C$5</c:f>
            </c:numRef>
          </c:val>
        </c:ser>
        <c:ser>
          <c:idx val="2"/>
          <c:order val="2"/>
          <c:tx>
            <c:strRef>
              <c:f>Sheet1!$D$1</c:f>
              <c:strCache>
                <c:ptCount val="1"/>
                <c:pt idx="0">
                  <c:v>Series 3</c:v>
                </c:pt>
              </c:strCache>
            </c:strRef>
          </c:tx>
          <c:invertIfNegative val="0"/>
          <c:cat>
            <c:strRef>
              <c:f>Sheet1!$A$2:$A$5</c:f>
              <c:strCache>
                <c:ptCount val="2"/>
                <c:pt idx="0">
                  <c:v>Recidivism % without PSC</c:v>
                </c:pt>
                <c:pt idx="1">
                  <c:v>Recidivism % for PSC participants</c:v>
                </c:pt>
              </c:strCache>
            </c:strRef>
          </c:cat>
          <c:val>
            <c:numRef>
              <c:f>Sheet1!$D$2:$D$5</c:f>
            </c:numRef>
          </c:val>
        </c:ser>
        <c:dLbls>
          <c:showLegendKey val="0"/>
          <c:showVal val="0"/>
          <c:showCatName val="0"/>
          <c:showSerName val="0"/>
          <c:showPercent val="0"/>
          <c:showBubbleSize val="0"/>
        </c:dLbls>
        <c:gapWidth val="150"/>
        <c:axId val="139453952"/>
        <c:axId val="152205952"/>
      </c:barChart>
      <c:catAx>
        <c:axId val="139453952"/>
        <c:scaling>
          <c:orientation val="minMax"/>
        </c:scaling>
        <c:delete val="0"/>
        <c:axPos val="b"/>
        <c:majorTickMark val="out"/>
        <c:minorTickMark val="none"/>
        <c:tickLblPos val="nextTo"/>
        <c:crossAx val="152205952"/>
        <c:crosses val="autoZero"/>
        <c:auto val="1"/>
        <c:lblAlgn val="ctr"/>
        <c:lblOffset val="100"/>
        <c:noMultiLvlLbl val="0"/>
      </c:catAx>
      <c:valAx>
        <c:axId val="152205952"/>
        <c:scaling>
          <c:orientation val="minMax"/>
        </c:scaling>
        <c:delete val="0"/>
        <c:axPos val="l"/>
        <c:majorGridlines/>
        <c:numFmt formatCode="General" sourceLinked="1"/>
        <c:majorTickMark val="out"/>
        <c:minorTickMark val="none"/>
        <c:tickLblPos val="nextTo"/>
        <c:crossAx val="139453952"/>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jfriedel</dc:creator>
  <cp:lastModifiedBy>Amanda Petteruti</cp:lastModifiedBy>
  <cp:revision>3</cp:revision>
  <cp:lastPrinted>2015-01-29T00:22:00Z</cp:lastPrinted>
  <dcterms:created xsi:type="dcterms:W3CDTF">2015-02-20T19:43:00Z</dcterms:created>
  <dcterms:modified xsi:type="dcterms:W3CDTF">2015-02-23T19:05:00Z</dcterms:modified>
</cp:coreProperties>
</file>